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887" w:rsidRDefault="004B3887" w:rsidP="004B3887">
      <w:pPr>
        <w:pStyle w:val="1"/>
      </w:pPr>
      <w:r>
        <w:t>(110-65-6)1,4-丁炔二醇(电镀发光剂)的理化及危险特性表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906"/>
        <w:gridCol w:w="2610"/>
        <w:gridCol w:w="2170"/>
      </w:tblGrid>
      <w:tr w:rsidR="004B3887"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标</w:t>
            </w:r>
          </w:p>
          <w:p w:rsidR="004B3887" w:rsidRDefault="004B3887" w:rsidP="0090435F">
            <w:pPr>
              <w:spacing w:line="299" w:lineRule="exact"/>
              <w:jc w:val="center"/>
              <w:rPr>
                <w:rFonts w:ascii="宋体" w:hAnsi="宋体"/>
              </w:rPr>
            </w:pPr>
            <w:r>
              <w:rPr>
                <w:rFonts w:ascii="宋体" w:hAnsi="宋体" w:hint="eastAsia"/>
              </w:rPr>
              <w:t>识</w:t>
            </w: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中文名：</w:t>
            </w:r>
            <w:r>
              <w:rPr>
                <w:rFonts w:ascii="宋体" w:hAnsi="宋体" w:hint="eastAsia"/>
                <w:szCs w:val="18"/>
              </w:rPr>
              <w:t>1,4-丁炔二醇 </w:t>
            </w:r>
            <w:r>
              <w:rPr>
                <w:rFonts w:ascii="宋体" w:hAnsi="宋体" w:hint="eastAsia"/>
              </w:rPr>
              <w:t>；</w:t>
            </w:r>
            <w:r>
              <w:rPr>
                <w:rFonts w:ascii="宋体" w:hAnsi="宋体" w:hint="eastAsia"/>
                <w:szCs w:val="18"/>
              </w:rPr>
              <w:t>电镀发光剂</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szCs w:val="18"/>
              </w:rPr>
            </w:pPr>
            <w:r>
              <w:rPr>
                <w:rFonts w:ascii="宋体" w:hAnsi="宋体" w:hint="eastAsia"/>
              </w:rPr>
              <w:t>英文名:</w:t>
            </w:r>
            <w:r>
              <w:rPr>
                <w:rFonts w:ascii="宋体" w:hAnsi="宋体" w:hint="eastAsia"/>
                <w:szCs w:val="18"/>
              </w:rPr>
              <w:t xml:space="preserve"> 2-butyne-1,4-diol </w:t>
            </w:r>
            <w:r>
              <w:rPr>
                <w:rFonts w:ascii="宋体" w:hAnsi="宋体" w:hint="eastAsia"/>
              </w:rPr>
              <w:t>;</w:t>
            </w:r>
            <w:r>
              <w:rPr>
                <w:rFonts w:ascii="宋体" w:hAnsi="宋体" w:hint="eastAsia"/>
                <w:szCs w:val="18"/>
              </w:rPr>
              <w:t xml:space="preserve"> </w:t>
            </w:r>
          </w:p>
          <w:p w:rsidR="004B3887" w:rsidRDefault="004B3887" w:rsidP="0090435F">
            <w:pPr>
              <w:spacing w:line="299" w:lineRule="exact"/>
              <w:ind w:firstLineChars="400" w:firstLine="840"/>
              <w:rPr>
                <w:rFonts w:ascii="宋体" w:hAnsi="宋体"/>
              </w:rPr>
            </w:pPr>
            <w:r>
              <w:rPr>
                <w:rFonts w:ascii="宋体" w:hAnsi="宋体" w:hint="eastAsia"/>
                <w:szCs w:val="18"/>
              </w:rPr>
              <w:t xml:space="preserve"> 1,4-dihydroxy-2-butyne</w:t>
            </w:r>
          </w:p>
        </w:tc>
      </w:tr>
      <w:tr w:rsidR="004B3887" w:rsidTr="0090435F">
        <w:trPr>
          <w:cantSplit/>
          <w:jc w:val="center"/>
        </w:trPr>
        <w:tc>
          <w:tcPr>
            <w:tcW w:w="488" w:type="dxa"/>
            <w:vMerge/>
            <w:tcBorders>
              <w:left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6</w:t>
            </w:r>
            <w:r>
              <w:rPr>
                <w:rFonts w:ascii="宋体" w:hAnsi="宋体" w:hint="eastAsia"/>
                <w:szCs w:val="18"/>
              </w:rPr>
              <w:t>O</w:t>
            </w:r>
            <w:r>
              <w:rPr>
                <w:rFonts w:ascii="宋体" w:hAnsi="宋体" w:hint="eastAsia"/>
                <w:szCs w:val="18"/>
                <w:vertAlign w:val="subscript"/>
              </w:rPr>
              <w:t>2</w:t>
            </w:r>
          </w:p>
        </w:tc>
        <w:tc>
          <w:tcPr>
            <w:tcW w:w="2610"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分子量： 86.9</w:t>
            </w:r>
          </w:p>
        </w:tc>
        <w:tc>
          <w:tcPr>
            <w:tcW w:w="2170"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UN编号：2716</w:t>
            </w:r>
          </w:p>
        </w:tc>
      </w:tr>
      <w:tr w:rsidR="004B3887" w:rsidTr="0090435F">
        <w:trPr>
          <w:cantSplit/>
          <w:jc w:val="center"/>
        </w:trPr>
        <w:tc>
          <w:tcPr>
            <w:tcW w:w="488" w:type="dxa"/>
            <w:vMerge/>
            <w:tcBorders>
              <w:left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危规号： 61582</w:t>
            </w:r>
          </w:p>
        </w:tc>
        <w:tc>
          <w:tcPr>
            <w:tcW w:w="2170"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CAS号：110-65-6</w:t>
            </w:r>
          </w:p>
        </w:tc>
      </w:tr>
      <w:tr w:rsidR="004B3887" w:rsidTr="0090435F">
        <w:trPr>
          <w:cantSplit/>
          <w:jc w:val="center"/>
        </w:trPr>
        <w:tc>
          <w:tcPr>
            <w:tcW w:w="488" w:type="dxa"/>
            <w:vMerge/>
            <w:tcBorders>
              <w:left w:val="single" w:sz="4" w:space="0" w:color="auto"/>
              <w:bottom w:val="nil"/>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包装标志：有毒品</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包装类别：Ⅲ类</w:t>
            </w:r>
          </w:p>
        </w:tc>
      </w:tr>
      <w:tr w:rsidR="004B3887"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理</w:t>
            </w:r>
          </w:p>
          <w:p w:rsidR="004B3887" w:rsidRDefault="004B3887" w:rsidP="0090435F">
            <w:pPr>
              <w:spacing w:line="299" w:lineRule="exact"/>
              <w:jc w:val="center"/>
              <w:rPr>
                <w:rFonts w:ascii="宋体" w:hAnsi="宋体"/>
              </w:rPr>
            </w:pPr>
            <w:r>
              <w:rPr>
                <w:rFonts w:ascii="宋体" w:hAnsi="宋体" w:hint="eastAsia"/>
              </w:rPr>
              <w:t>化</w:t>
            </w:r>
          </w:p>
          <w:p w:rsidR="004B3887" w:rsidRDefault="004B3887" w:rsidP="0090435F">
            <w:pPr>
              <w:spacing w:line="299" w:lineRule="exact"/>
              <w:jc w:val="center"/>
              <w:rPr>
                <w:rFonts w:ascii="宋体" w:hAnsi="宋体"/>
              </w:rPr>
            </w:pPr>
            <w:r>
              <w:rPr>
                <w:rFonts w:ascii="宋体" w:hAnsi="宋体" w:hint="eastAsia"/>
              </w:rPr>
              <w:t>性</w:t>
            </w:r>
          </w:p>
          <w:p w:rsidR="004B3887" w:rsidRDefault="004B3887" w:rsidP="0090435F">
            <w:pPr>
              <w:spacing w:line="299"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外观与性状：</w:t>
            </w:r>
            <w:r>
              <w:rPr>
                <w:rFonts w:ascii="宋体" w:hAnsi="宋体" w:hint="eastAsia"/>
                <w:szCs w:val="18"/>
              </w:rPr>
              <w:t>无色至微黄色片状结晶, 具有醇香味, 易潮解。</w:t>
            </w:r>
          </w:p>
        </w:tc>
      </w:tr>
      <w:tr w:rsidR="004B3887"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溶解性：</w:t>
            </w:r>
            <w:r>
              <w:rPr>
                <w:rFonts w:ascii="宋体" w:hAnsi="宋体" w:hint="eastAsia"/>
                <w:szCs w:val="18"/>
              </w:rPr>
              <w:t>易溶于水，易溶于甲醇、乙醇，不溶于乙醚、苯、氯仿。</w:t>
            </w:r>
          </w:p>
        </w:tc>
      </w:tr>
      <w:tr w:rsidR="004B3887"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熔点（℃）：</w:t>
            </w:r>
            <w:r>
              <w:rPr>
                <w:rFonts w:ascii="宋体" w:hAnsi="宋体" w:hint="eastAsia"/>
                <w:szCs w:val="18"/>
              </w:rPr>
              <w:t>57.5</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沸点（℃）：</w:t>
            </w:r>
            <w:r>
              <w:rPr>
                <w:rFonts w:ascii="宋体" w:hAnsi="宋体" w:hint="eastAsia"/>
                <w:szCs w:val="18"/>
              </w:rPr>
              <w:t>194(13.33kPa)</w:t>
            </w:r>
          </w:p>
        </w:tc>
      </w:tr>
      <w:tr w:rsidR="004B3887"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相对密度（水＝1）：</w:t>
            </w:r>
            <w:r>
              <w:rPr>
                <w:rFonts w:ascii="宋体" w:hAnsi="宋体" w:hint="eastAsia"/>
                <w:szCs w:val="18"/>
              </w:rPr>
              <w:t>无资料</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相对密度（空气＝1）：</w:t>
            </w:r>
            <w:r>
              <w:rPr>
                <w:rFonts w:ascii="宋体" w:hAnsi="宋体" w:hint="eastAsia"/>
                <w:szCs w:val="18"/>
              </w:rPr>
              <w:t>无资料</w:t>
            </w:r>
          </w:p>
        </w:tc>
      </w:tr>
      <w:tr w:rsidR="004B3887" w:rsidTr="0090435F">
        <w:trPr>
          <w:cantSplit/>
          <w:trHeight w:val="70"/>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饱和蒸气压（kPa）：</w:t>
            </w:r>
            <w:r>
              <w:rPr>
                <w:rFonts w:ascii="宋体" w:hAnsi="宋体" w:hint="eastAsia"/>
                <w:szCs w:val="18"/>
              </w:rPr>
              <w:t>13,33(194℃)</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燃烧热（kJ/mol）：</w:t>
            </w:r>
            <w:r>
              <w:rPr>
                <w:rFonts w:ascii="宋体" w:hAnsi="宋体" w:hint="eastAsia"/>
                <w:szCs w:val="18"/>
              </w:rPr>
              <w:t>无资料</w:t>
            </w:r>
          </w:p>
        </w:tc>
      </w:tr>
      <w:tr w:rsidR="004B3887"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临界温度（℃）：</w:t>
            </w:r>
            <w:r>
              <w:rPr>
                <w:rFonts w:ascii="宋体" w:hAnsi="宋体" w:hint="eastAsia"/>
                <w:szCs w:val="18"/>
              </w:rPr>
              <w:t>无资料</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临界压力（MPa）：</w:t>
            </w:r>
            <w:r>
              <w:rPr>
                <w:rFonts w:ascii="宋体" w:hAnsi="宋体" w:hint="eastAsia"/>
                <w:szCs w:val="18"/>
              </w:rPr>
              <w:t>无资料</w:t>
            </w:r>
          </w:p>
        </w:tc>
      </w:tr>
      <w:tr w:rsidR="004B3887"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燃</w:t>
            </w:r>
          </w:p>
          <w:p w:rsidR="004B3887" w:rsidRDefault="004B3887" w:rsidP="0090435F">
            <w:pPr>
              <w:spacing w:line="299" w:lineRule="exact"/>
              <w:jc w:val="center"/>
              <w:rPr>
                <w:rFonts w:ascii="宋体" w:hAnsi="宋体"/>
              </w:rPr>
            </w:pPr>
            <w:r>
              <w:rPr>
                <w:rFonts w:ascii="宋体" w:hAnsi="宋体" w:hint="eastAsia"/>
              </w:rPr>
              <w:t>烧</w:t>
            </w:r>
          </w:p>
          <w:p w:rsidR="004B3887" w:rsidRDefault="004B3887" w:rsidP="0090435F">
            <w:pPr>
              <w:spacing w:line="299" w:lineRule="exact"/>
              <w:jc w:val="center"/>
              <w:rPr>
                <w:rFonts w:ascii="宋体" w:hAnsi="宋体"/>
              </w:rPr>
            </w:pPr>
            <w:r>
              <w:rPr>
                <w:rFonts w:ascii="宋体" w:hAnsi="宋体" w:hint="eastAsia"/>
              </w:rPr>
              <w:t>爆</w:t>
            </w:r>
          </w:p>
          <w:p w:rsidR="004B3887" w:rsidRDefault="004B3887" w:rsidP="0090435F">
            <w:pPr>
              <w:spacing w:line="299" w:lineRule="exact"/>
              <w:jc w:val="center"/>
              <w:rPr>
                <w:rFonts w:ascii="宋体" w:hAnsi="宋体"/>
              </w:rPr>
            </w:pPr>
            <w:r>
              <w:rPr>
                <w:rFonts w:ascii="宋体" w:hAnsi="宋体" w:hint="eastAsia"/>
              </w:rPr>
              <w:t>炸</w:t>
            </w:r>
          </w:p>
          <w:p w:rsidR="004B3887" w:rsidRDefault="004B3887" w:rsidP="0090435F">
            <w:pPr>
              <w:spacing w:line="299" w:lineRule="exact"/>
              <w:jc w:val="center"/>
              <w:rPr>
                <w:rFonts w:ascii="宋体" w:hAnsi="宋体"/>
              </w:rPr>
            </w:pPr>
            <w:r>
              <w:rPr>
                <w:rFonts w:ascii="宋体" w:hAnsi="宋体" w:hint="eastAsia"/>
              </w:rPr>
              <w:t>危</w:t>
            </w:r>
          </w:p>
          <w:p w:rsidR="004B3887" w:rsidRDefault="004B3887" w:rsidP="0090435F">
            <w:pPr>
              <w:spacing w:line="299" w:lineRule="exact"/>
              <w:jc w:val="center"/>
              <w:rPr>
                <w:rFonts w:ascii="宋体" w:hAnsi="宋体"/>
              </w:rPr>
            </w:pPr>
            <w:r>
              <w:rPr>
                <w:rFonts w:ascii="宋体" w:hAnsi="宋体" w:hint="eastAsia"/>
              </w:rPr>
              <w:t>险</w:t>
            </w:r>
          </w:p>
          <w:p w:rsidR="004B3887" w:rsidRDefault="004B3887" w:rsidP="0090435F">
            <w:pPr>
              <w:spacing w:line="299" w:lineRule="exact"/>
              <w:jc w:val="center"/>
              <w:rPr>
                <w:rFonts w:ascii="宋体" w:hAnsi="宋体"/>
              </w:rPr>
            </w:pPr>
            <w:r>
              <w:rPr>
                <w:rFonts w:ascii="宋体" w:hAnsi="宋体" w:hint="eastAsia"/>
              </w:rPr>
              <w:t>性</w:t>
            </w: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燃烧性： 易燃</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闪点（℃）：</w:t>
            </w:r>
            <w:r>
              <w:rPr>
                <w:rFonts w:ascii="宋体" w:hAnsi="宋体" w:hint="eastAsia"/>
                <w:szCs w:val="18"/>
              </w:rPr>
              <w:t>152</w:t>
            </w:r>
          </w:p>
        </w:tc>
      </w:tr>
      <w:tr w:rsidR="004B3887" w:rsidTr="0090435F">
        <w:trPr>
          <w:cantSplit/>
          <w:jc w:val="center"/>
        </w:trPr>
        <w:tc>
          <w:tcPr>
            <w:tcW w:w="488" w:type="dxa"/>
            <w:vMerge/>
            <w:tcBorders>
              <w:top w:val="single" w:sz="4" w:space="0" w:color="auto"/>
              <w:left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爆炸下限（%）：</w:t>
            </w:r>
            <w:r>
              <w:rPr>
                <w:rFonts w:ascii="宋体" w:hAnsi="宋体" w:hint="eastAsia"/>
                <w:szCs w:val="18"/>
              </w:rPr>
              <w:t>无资料</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爆炸上限（%）：</w:t>
            </w:r>
            <w:r>
              <w:rPr>
                <w:rFonts w:ascii="宋体" w:hAnsi="宋体" w:hint="eastAsia"/>
                <w:szCs w:val="18"/>
              </w:rPr>
              <w:t>无资料</w:t>
            </w:r>
          </w:p>
        </w:tc>
      </w:tr>
      <w:tr w:rsidR="004B3887" w:rsidTr="0090435F">
        <w:trPr>
          <w:cantSplit/>
          <w:jc w:val="center"/>
        </w:trPr>
        <w:tc>
          <w:tcPr>
            <w:tcW w:w="488" w:type="dxa"/>
            <w:vMerge/>
            <w:tcBorders>
              <w:top w:val="single" w:sz="4" w:space="0" w:color="auto"/>
              <w:left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引燃温度（℃）：248</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最小点火能（mJ）：无资料</w:t>
            </w:r>
          </w:p>
        </w:tc>
      </w:tr>
      <w:tr w:rsidR="004B3887" w:rsidTr="0090435F">
        <w:trPr>
          <w:cantSplit/>
          <w:jc w:val="center"/>
        </w:trPr>
        <w:tc>
          <w:tcPr>
            <w:tcW w:w="488" w:type="dxa"/>
            <w:vMerge/>
            <w:tcBorders>
              <w:left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 xml:space="preserve">最大爆炸压力（MPa）：无资料 </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 xml:space="preserve">稳定性：稳定 </w:t>
            </w:r>
          </w:p>
        </w:tc>
      </w:tr>
      <w:tr w:rsidR="004B3887" w:rsidTr="0090435F">
        <w:trPr>
          <w:cantSplit/>
          <w:jc w:val="center"/>
        </w:trPr>
        <w:tc>
          <w:tcPr>
            <w:tcW w:w="488" w:type="dxa"/>
            <w:vMerge/>
            <w:tcBorders>
              <w:left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3906"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 xml:space="preserve">聚合危害：不聚合 </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禁忌物：</w:t>
            </w:r>
            <w:r>
              <w:rPr>
                <w:rFonts w:ascii="宋体" w:hAnsi="宋体" w:hint="eastAsia"/>
                <w:szCs w:val="18"/>
              </w:rPr>
              <w:t>强氧化剂、强碱、酸酐、酰基氯。</w:t>
            </w:r>
          </w:p>
        </w:tc>
      </w:tr>
      <w:tr w:rsidR="004B3887" w:rsidTr="0090435F">
        <w:trPr>
          <w:cantSplit/>
          <w:jc w:val="center"/>
        </w:trPr>
        <w:tc>
          <w:tcPr>
            <w:tcW w:w="488" w:type="dxa"/>
            <w:vMerge/>
            <w:tcBorders>
              <w:left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4B3887" w:rsidTr="0090435F">
        <w:trPr>
          <w:cantSplit/>
          <w:trHeight w:val="798"/>
          <w:jc w:val="center"/>
        </w:trPr>
        <w:tc>
          <w:tcPr>
            <w:tcW w:w="488" w:type="dxa"/>
            <w:vMerge/>
            <w:tcBorders>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危险特性：</w:t>
            </w:r>
            <w:r>
              <w:rPr>
                <w:rFonts w:ascii="宋体" w:hAnsi="宋体" w:hint="eastAsia"/>
                <w:szCs w:val="18"/>
              </w:rPr>
              <w:t>遇高热、明火或与氧化剂混合, 经摩擦、撞击有引起燃烧爆炸的危险。在高温时，若为汞盐、强酸、碱土金属、氢氧化物及卤化物等污染后，有可能发生爆炸。</w:t>
            </w:r>
          </w:p>
        </w:tc>
      </w:tr>
      <w:tr w:rsidR="004B3887" w:rsidTr="0090435F">
        <w:trPr>
          <w:cantSplit/>
          <w:jc w:val="center"/>
        </w:trPr>
        <w:tc>
          <w:tcPr>
            <w:tcW w:w="488" w:type="dxa"/>
            <w:vMerge/>
            <w:tcBorders>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灭火方法：</w:t>
            </w:r>
            <w:r>
              <w:rPr>
                <w:rFonts w:ascii="_x000B__x000C_" w:hAnsi="_x000B__x000C_" w:hint="eastAsia"/>
                <w:szCs w:val="18"/>
              </w:rPr>
              <w:t>采用水、抗溶性泡沫、二氧化碳、干粉、砂土灭火。</w:t>
            </w:r>
          </w:p>
        </w:tc>
      </w:tr>
      <w:tr w:rsidR="004B3887"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毒</w:t>
            </w:r>
          </w:p>
          <w:p w:rsidR="004B3887" w:rsidRDefault="004B3887" w:rsidP="0090435F">
            <w:pPr>
              <w:spacing w:line="299"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125 mg/kg(大鼠经口)</w:t>
            </w:r>
          </w:p>
          <w:p w:rsidR="004B3887" w:rsidRDefault="004B3887" w:rsidP="0090435F">
            <w:pPr>
              <w:spacing w:line="299" w:lineRule="exact"/>
              <w:rPr>
                <w:rFonts w:ascii="宋体" w:hAnsi="宋体"/>
              </w:rPr>
            </w:pPr>
            <w:r>
              <w:rPr>
                <w:rFonts w:ascii="宋体" w:hAnsi="宋体" w:hint="eastAsia"/>
              </w:rPr>
              <w:t>LD</w:t>
            </w:r>
            <w:r>
              <w:rPr>
                <w:rFonts w:hint="eastAsia"/>
                <w:vertAlign w:val="subscript"/>
              </w:rPr>
              <w:t>50</w:t>
            </w:r>
            <w:r>
              <w:rPr>
                <w:rFonts w:ascii="宋体" w:hAnsi="宋体" w:hint="eastAsia"/>
              </w:rPr>
              <w:t>：</w:t>
            </w:r>
          </w:p>
        </w:tc>
      </w:tr>
      <w:tr w:rsidR="004B3887"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侵入途经：吸入、食入。</w:t>
            </w:r>
          </w:p>
        </w:tc>
      </w:tr>
      <w:tr w:rsidR="004B3887"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_x000B__x000C_" w:hAnsi="_x000B__x000C_" w:hint="eastAsia"/>
                <w:szCs w:val="18"/>
              </w:rPr>
              <w:t>本品对眼和呼吸道有刺激性。对皮肤有刺激和致敏作用。口服刺激消化道，引起恶心、呕吐，可引起惊厥。</w:t>
            </w:r>
            <w:r>
              <w:rPr>
                <w:rFonts w:ascii="_x000B__x000C_" w:hAnsi="_x000B__x000C_" w:hint="eastAsia"/>
                <w:szCs w:val="18"/>
              </w:rPr>
              <w:t> </w:t>
            </w:r>
          </w:p>
        </w:tc>
      </w:tr>
      <w:tr w:rsidR="004B3887" w:rsidTr="0090435F">
        <w:trPr>
          <w:cantSplit/>
          <w:jc w:val="center"/>
        </w:trPr>
        <w:tc>
          <w:tcPr>
            <w:tcW w:w="488" w:type="dxa"/>
            <w:tcBorders>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急</w:t>
            </w:r>
          </w:p>
          <w:p w:rsidR="004B3887" w:rsidRDefault="004B3887" w:rsidP="0090435F">
            <w:pPr>
              <w:spacing w:line="299"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皮肤接触：</w:t>
            </w:r>
            <w:r>
              <w:rPr>
                <w:rFonts w:ascii="_x000B__x000C_" w:hAnsi="_x000B__x000C_" w:hint="eastAsia"/>
                <w:szCs w:val="18"/>
              </w:rPr>
              <w:t>脱去污染的衣着，用肥皂水和清水彻底冲洗皮肤。</w:t>
            </w:r>
            <w:r>
              <w:rPr>
                <w:rFonts w:ascii="宋体" w:hAnsi="宋体" w:hint="eastAsia"/>
              </w:rPr>
              <w:t xml:space="preserve">   ※眼睛接触：</w:t>
            </w:r>
            <w:r>
              <w:rPr>
                <w:rFonts w:ascii="_x000B__x000C_" w:hAnsi="_x000B__x000C_" w:hint="eastAsia"/>
                <w:szCs w:val="18"/>
              </w:rPr>
              <w:t>提起眼睑，用流动清水或生理盐水冲洗。就医。</w:t>
            </w:r>
            <w:r>
              <w:rPr>
                <w:rFonts w:ascii="宋体" w:hAnsi="宋体" w:hint="eastAsia"/>
              </w:rPr>
              <w:t xml:space="preserve">   ※吸入：</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_x000B__x000C_" w:hAnsi="_x000B__x000C_" w:hint="eastAsia"/>
                <w:szCs w:val="18"/>
              </w:rPr>
              <w:t>饮足量温水，催吐。就医。</w:t>
            </w:r>
          </w:p>
        </w:tc>
      </w:tr>
      <w:tr w:rsidR="004B3887"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防</w:t>
            </w:r>
          </w:p>
          <w:p w:rsidR="004B3887" w:rsidRDefault="004B3887" w:rsidP="0090435F">
            <w:pPr>
              <w:spacing w:line="299"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宋体" w:hAnsi="宋体" w:hint="eastAsia"/>
              </w:rPr>
              <w:t>工程控制：</w:t>
            </w:r>
            <w:r>
              <w:rPr>
                <w:rFonts w:ascii="_x000B__x000C_" w:hAnsi="_x000B__x000C_" w:hint="eastAsia"/>
                <w:szCs w:val="18"/>
              </w:rPr>
              <w:t>密闭操作，局部排风。</w:t>
            </w:r>
            <w:r>
              <w:rPr>
                <w:rFonts w:ascii="宋体" w:hAnsi="宋体" w:hint="eastAsia"/>
              </w:rPr>
              <w:t xml:space="preserve">   ※呼吸系统防护：</w:t>
            </w:r>
            <w:r>
              <w:rPr>
                <w:rFonts w:ascii="_x000B__x000C_" w:hAnsi="_x000B__x000C_" w:hint="eastAsia"/>
                <w:szCs w:val="18"/>
              </w:rPr>
              <w:t>空气中粉尘浓度较高时，佩戴自吸过滤式防尘口罩。</w:t>
            </w:r>
            <w:r>
              <w:rPr>
                <w:rFonts w:ascii="宋体" w:hAnsi="宋体" w:hint="eastAsia"/>
              </w:rPr>
              <w:t xml:space="preserve">   ※眼睛防护：</w:t>
            </w:r>
            <w:r>
              <w:rPr>
                <w:rFonts w:ascii="_x000B__x000C_" w:hAnsi="_x000B__x000C_" w:hint="eastAsia"/>
                <w:szCs w:val="18"/>
              </w:rPr>
              <w:t>戴化学安全防护眼镜。</w:t>
            </w:r>
            <w:r>
              <w:rPr>
                <w:rFonts w:ascii="宋体" w:hAnsi="宋体" w:hint="eastAsia"/>
              </w:rPr>
              <w:t xml:space="preserve">   ※身体防护：</w:t>
            </w:r>
            <w:r>
              <w:rPr>
                <w:rFonts w:ascii="_x000B__x000C_" w:hAnsi="_x000B__x000C_" w:hint="eastAsia"/>
                <w:szCs w:val="18"/>
              </w:rPr>
              <w:t>穿透气型防毒服。</w:t>
            </w:r>
            <w:r>
              <w:rPr>
                <w:rFonts w:ascii="宋体" w:hAnsi="宋体" w:hint="eastAsia"/>
              </w:rPr>
              <w:t xml:space="preserve">   ※手防护：</w:t>
            </w:r>
            <w:r>
              <w:rPr>
                <w:rFonts w:ascii="_x000B__x000C_" w:hAnsi="_x000B__x000C_" w:hint="eastAsia"/>
                <w:szCs w:val="18"/>
              </w:rPr>
              <w:t>戴防化学品手套。</w:t>
            </w:r>
            <w:r>
              <w:rPr>
                <w:rFonts w:ascii="宋体" w:hAnsi="宋体" w:hint="eastAsia"/>
              </w:rPr>
              <w:t xml:space="preserve">   ※其他：</w:t>
            </w:r>
            <w:r>
              <w:rPr>
                <w:rFonts w:ascii="_x000B__x000C_" w:hAnsi="_x000B__x000C_" w:hint="eastAsia"/>
                <w:szCs w:val="18"/>
              </w:rPr>
              <w:t>工作现场严禁吸烟。避免长期反复接触。定期体检。注意个人清洁卫生。</w:t>
            </w:r>
          </w:p>
        </w:tc>
      </w:tr>
      <w:tr w:rsidR="004B3887"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泄</w:t>
            </w:r>
          </w:p>
          <w:p w:rsidR="004B3887" w:rsidRDefault="004B3887" w:rsidP="0090435F">
            <w:pPr>
              <w:spacing w:line="299" w:lineRule="exact"/>
              <w:jc w:val="center"/>
              <w:rPr>
                <w:rFonts w:ascii="宋体" w:hAnsi="宋体"/>
              </w:rPr>
            </w:pPr>
            <w:r>
              <w:rPr>
                <w:rFonts w:ascii="宋体" w:hAnsi="宋体" w:hint="eastAsia"/>
              </w:rPr>
              <w:t>漏</w:t>
            </w:r>
          </w:p>
          <w:p w:rsidR="004B3887" w:rsidRDefault="004B3887" w:rsidP="0090435F">
            <w:pPr>
              <w:spacing w:line="299" w:lineRule="exact"/>
              <w:jc w:val="center"/>
              <w:rPr>
                <w:rFonts w:ascii="宋体" w:hAnsi="宋体"/>
              </w:rPr>
            </w:pPr>
            <w:r>
              <w:rPr>
                <w:rFonts w:ascii="宋体" w:hAnsi="宋体" w:hint="eastAsia"/>
              </w:rPr>
              <w:t>处</w:t>
            </w:r>
          </w:p>
          <w:p w:rsidR="004B3887" w:rsidRDefault="004B3887" w:rsidP="0090435F">
            <w:pPr>
              <w:spacing w:line="299"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4B3887" w:rsidRDefault="004B3887" w:rsidP="0090435F">
            <w:pPr>
              <w:spacing w:line="299" w:lineRule="exact"/>
              <w:rPr>
                <w:rFonts w:ascii="宋体" w:hAnsi="宋体"/>
              </w:rPr>
            </w:pPr>
            <w:r>
              <w:rPr>
                <w:rFonts w:ascii="_x000B__x000C_" w:hAnsi="_x000B__x000C_" w:hint="eastAsia"/>
                <w:szCs w:val="18"/>
              </w:rPr>
              <w:t>隔离泄漏污染区，限制出入。切断火源。建议应急处理人员戴防尘面具（全面罩），穿防毒服。不要直接接触泄漏物。小量泄漏：用洁净的铲子收集于干燥、洁净、有盖的容器中。大量泄漏：收集回收或运至废物处理场所处置。</w:t>
            </w:r>
          </w:p>
        </w:tc>
      </w:tr>
      <w:tr w:rsidR="004B3887" w:rsidTr="0090435F">
        <w:trPr>
          <w:cantSplit/>
          <w:jc w:val="center"/>
        </w:trPr>
        <w:tc>
          <w:tcPr>
            <w:tcW w:w="488" w:type="dxa"/>
            <w:tcBorders>
              <w:top w:val="single" w:sz="4" w:space="0" w:color="auto"/>
              <w:left w:val="single" w:sz="4" w:space="0" w:color="auto"/>
              <w:right w:val="single" w:sz="4" w:space="0" w:color="auto"/>
            </w:tcBorders>
            <w:vAlign w:val="center"/>
          </w:tcPr>
          <w:p w:rsidR="004B3887" w:rsidRDefault="004B3887" w:rsidP="0090435F">
            <w:pPr>
              <w:spacing w:line="299" w:lineRule="exact"/>
              <w:jc w:val="center"/>
              <w:rPr>
                <w:rFonts w:ascii="宋体" w:hAnsi="宋体"/>
              </w:rPr>
            </w:pPr>
            <w:r>
              <w:rPr>
                <w:rFonts w:ascii="宋体" w:hAnsi="宋体" w:hint="eastAsia"/>
              </w:rPr>
              <w:t>储</w:t>
            </w:r>
          </w:p>
          <w:p w:rsidR="004B3887" w:rsidRDefault="004B3887" w:rsidP="0090435F">
            <w:pPr>
              <w:spacing w:line="299" w:lineRule="exact"/>
              <w:jc w:val="center"/>
              <w:rPr>
                <w:rFonts w:ascii="宋体" w:hAnsi="宋体"/>
              </w:rPr>
            </w:pPr>
            <w:r>
              <w:rPr>
                <w:rFonts w:ascii="宋体" w:hAnsi="宋体" w:hint="eastAsia"/>
              </w:rPr>
              <w:t>运</w:t>
            </w:r>
          </w:p>
        </w:tc>
        <w:tc>
          <w:tcPr>
            <w:tcW w:w="8686" w:type="dxa"/>
            <w:gridSpan w:val="3"/>
            <w:tcBorders>
              <w:top w:val="single" w:sz="4" w:space="0" w:color="auto"/>
              <w:left w:val="single" w:sz="4" w:space="0" w:color="auto"/>
              <w:right w:val="single" w:sz="4" w:space="0" w:color="auto"/>
            </w:tcBorders>
            <w:vAlign w:val="center"/>
          </w:tcPr>
          <w:p w:rsidR="004B3887" w:rsidRDefault="004B3887" w:rsidP="0090435F">
            <w:pPr>
              <w:spacing w:line="299" w:lineRule="exact"/>
              <w:rPr>
                <w:rFonts w:ascii="_x000B__x000C_" w:hAnsi="_x000B__x000C_"/>
                <w:szCs w:val="18"/>
              </w:rPr>
            </w:pPr>
            <w:r>
              <w:rPr>
                <w:rFonts w:ascii="_x000B__x000C_" w:hAnsi="_x000B__x000C_" w:hint="eastAsia"/>
                <w:szCs w:val="18"/>
              </w:rPr>
              <w:t>储存于阴凉、通风的库房。远离火种、热源。包装密封。应与氧化剂、碱类、食用化学品分开存放，切忌混储。采用防爆型照明、通风设施。禁止使用易产生火花的机械设备和工具。储区应备有合适的材料收容泄漏物。</w:t>
            </w:r>
          </w:p>
          <w:p w:rsidR="004B3887" w:rsidRDefault="004B3887" w:rsidP="0090435F">
            <w:pPr>
              <w:spacing w:line="299" w:lineRule="exact"/>
              <w:rPr>
                <w:rFonts w:ascii="宋体" w:hAnsi="宋体"/>
              </w:rPr>
            </w:pPr>
            <w:r>
              <w:rPr>
                <w:rFonts w:ascii="_x000B__x000C_" w:hAnsi="_x000B__x000C_"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w:t>
            </w:r>
            <w:r>
              <w:rPr>
                <w:rFonts w:ascii="_x000B__x000C_" w:hAnsi="_x000B__x000C_" w:hint="eastAsia"/>
                <w:szCs w:val="18"/>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87"/>
    <w:rsid w:val="004B388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4A79C-FF97-42C9-9584-22029DB6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B388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388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Company>zyhq</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